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583" w:rsidRDefault="00A35583" w:rsidP="0035684F">
      <w:pPr>
        <w:spacing w:after="0"/>
        <w:jc w:val="center"/>
        <w:rPr>
          <w:b/>
          <w:sz w:val="28"/>
          <w:szCs w:val="28"/>
        </w:rPr>
      </w:pPr>
      <w:bookmarkStart w:id="0" w:name="_GoBack"/>
      <w:bookmarkEnd w:id="0"/>
      <w:r>
        <w:rPr>
          <w:b/>
          <w:sz w:val="28"/>
          <w:szCs w:val="28"/>
        </w:rPr>
        <w:t xml:space="preserve">Middle School Career Focused </w:t>
      </w:r>
    </w:p>
    <w:p w:rsidR="0035684F" w:rsidRPr="0035684F" w:rsidRDefault="000448CE" w:rsidP="00A35583">
      <w:pPr>
        <w:spacing w:after="0"/>
        <w:jc w:val="center"/>
        <w:rPr>
          <w:b/>
          <w:sz w:val="28"/>
          <w:szCs w:val="28"/>
        </w:rPr>
      </w:pPr>
      <w:r w:rsidRPr="0093522F">
        <w:rPr>
          <w:b/>
          <w:sz w:val="28"/>
          <w:szCs w:val="28"/>
        </w:rPr>
        <w:t>Out of School Time Examples from the Field</w:t>
      </w:r>
    </w:p>
    <w:tbl>
      <w:tblPr>
        <w:tblStyle w:val="TableGrid"/>
        <w:tblW w:w="10800" w:type="dxa"/>
        <w:tblInd w:w="-455" w:type="dxa"/>
        <w:tblLayout w:type="fixed"/>
        <w:tblLook w:val="04A0" w:firstRow="1" w:lastRow="0" w:firstColumn="1" w:lastColumn="0" w:noHBand="0" w:noVBand="1"/>
      </w:tblPr>
      <w:tblGrid>
        <w:gridCol w:w="1890"/>
        <w:gridCol w:w="6390"/>
        <w:gridCol w:w="2520"/>
      </w:tblGrid>
      <w:tr w:rsidR="0035684F" w:rsidRPr="00AC25A0" w:rsidTr="0035684F">
        <w:tc>
          <w:tcPr>
            <w:tcW w:w="1890" w:type="dxa"/>
          </w:tcPr>
          <w:p w:rsidR="000448CE" w:rsidRPr="00AC25A0" w:rsidRDefault="000448CE" w:rsidP="000448CE">
            <w:pPr>
              <w:jc w:val="center"/>
              <w:rPr>
                <w:b/>
                <w:sz w:val="24"/>
                <w:szCs w:val="24"/>
              </w:rPr>
            </w:pPr>
            <w:r w:rsidRPr="00AC25A0">
              <w:rPr>
                <w:b/>
                <w:sz w:val="24"/>
                <w:szCs w:val="24"/>
              </w:rPr>
              <w:t>Organization</w:t>
            </w:r>
          </w:p>
        </w:tc>
        <w:tc>
          <w:tcPr>
            <w:tcW w:w="6390" w:type="dxa"/>
          </w:tcPr>
          <w:p w:rsidR="000448CE" w:rsidRPr="00146E6F" w:rsidRDefault="000448CE" w:rsidP="000448CE">
            <w:pPr>
              <w:jc w:val="center"/>
              <w:rPr>
                <w:rFonts w:cstheme="minorHAnsi"/>
                <w:b/>
                <w:sz w:val="24"/>
                <w:szCs w:val="24"/>
              </w:rPr>
            </w:pPr>
            <w:r w:rsidRPr="00146E6F">
              <w:rPr>
                <w:rFonts w:cstheme="minorHAnsi"/>
                <w:b/>
                <w:sz w:val="24"/>
                <w:szCs w:val="24"/>
              </w:rPr>
              <w:t>Description</w:t>
            </w:r>
          </w:p>
        </w:tc>
        <w:tc>
          <w:tcPr>
            <w:tcW w:w="2520" w:type="dxa"/>
          </w:tcPr>
          <w:p w:rsidR="000448CE" w:rsidRPr="00AC25A0" w:rsidRDefault="000448CE" w:rsidP="000448CE">
            <w:pPr>
              <w:jc w:val="center"/>
              <w:rPr>
                <w:b/>
                <w:sz w:val="24"/>
                <w:szCs w:val="24"/>
              </w:rPr>
            </w:pPr>
            <w:r w:rsidRPr="00AC25A0">
              <w:rPr>
                <w:b/>
                <w:sz w:val="24"/>
                <w:szCs w:val="24"/>
              </w:rPr>
              <w:t>Website</w:t>
            </w:r>
          </w:p>
        </w:tc>
      </w:tr>
      <w:tr w:rsidR="00B77F43" w:rsidTr="0035684F">
        <w:tc>
          <w:tcPr>
            <w:tcW w:w="1890" w:type="dxa"/>
          </w:tcPr>
          <w:p w:rsidR="00B82C3A" w:rsidRDefault="00B77F43" w:rsidP="000448CE">
            <w:pPr>
              <w:jc w:val="center"/>
              <w:rPr>
                <w:b/>
              </w:rPr>
            </w:pPr>
            <w:r>
              <w:rPr>
                <w:b/>
              </w:rPr>
              <w:t xml:space="preserve">After-School </w:t>
            </w:r>
          </w:p>
          <w:p w:rsidR="009E0FBC" w:rsidRDefault="00B77F43" w:rsidP="000448CE">
            <w:pPr>
              <w:jc w:val="center"/>
              <w:rPr>
                <w:b/>
              </w:rPr>
            </w:pPr>
            <w:r>
              <w:rPr>
                <w:b/>
              </w:rPr>
              <w:t>All-Stars</w:t>
            </w:r>
          </w:p>
          <w:p w:rsidR="00B77F43" w:rsidRDefault="009E0FBC" w:rsidP="000448CE">
            <w:pPr>
              <w:jc w:val="center"/>
              <w:rPr>
                <w:b/>
              </w:rPr>
            </w:pPr>
            <w:r>
              <w:rPr>
                <w:b/>
              </w:rPr>
              <w:t xml:space="preserve"> (ASAS)</w:t>
            </w:r>
          </w:p>
          <w:p w:rsidR="008C0F4B" w:rsidRDefault="00E97BE1" w:rsidP="000448CE">
            <w:pPr>
              <w:jc w:val="center"/>
              <w:rPr>
                <w:b/>
              </w:rPr>
            </w:pPr>
            <w:r>
              <w:rPr>
                <w:b/>
              </w:rPr>
              <w:t>(Multiple Locations</w:t>
            </w:r>
            <w:r w:rsidR="008C0F4B">
              <w:rPr>
                <w:b/>
              </w:rPr>
              <w:t>)</w:t>
            </w:r>
          </w:p>
        </w:tc>
        <w:tc>
          <w:tcPr>
            <w:tcW w:w="6390" w:type="dxa"/>
          </w:tcPr>
          <w:p w:rsidR="00B77F43" w:rsidRPr="0035684F" w:rsidRDefault="009E0FBC" w:rsidP="000448CE">
            <w:pPr>
              <w:rPr>
                <w:rFonts w:cstheme="minorHAnsi"/>
                <w:sz w:val="20"/>
                <w:szCs w:val="20"/>
              </w:rPr>
            </w:pPr>
            <w:r w:rsidRPr="0035684F">
              <w:rPr>
                <w:rFonts w:eastAsia="Times New Roman" w:cstheme="minorHAnsi"/>
                <w:sz w:val="20"/>
                <w:szCs w:val="20"/>
              </w:rPr>
              <w:t>After-School All-Stars provides comprehensive afterschool programs to children and youth across 13 states and 53 cities serving over 70,000 students with the vision that each All-Star will be safe and healthy, graduate high school</w:t>
            </w:r>
            <w:r w:rsidR="00E97BE1">
              <w:rPr>
                <w:rFonts w:eastAsia="Times New Roman" w:cstheme="minorHAnsi"/>
                <w:sz w:val="20"/>
                <w:szCs w:val="20"/>
              </w:rPr>
              <w:t>,</w:t>
            </w:r>
            <w:r w:rsidRPr="0035684F">
              <w:rPr>
                <w:rFonts w:eastAsia="Times New Roman" w:cstheme="minorHAnsi"/>
                <w:sz w:val="20"/>
                <w:szCs w:val="20"/>
              </w:rPr>
              <w:t xml:space="preserve"> go to college, find careers they love then give back to their communities. 62% of All-Stars are in middle school grades and 82% qualify for free and reduced lunch.</w:t>
            </w:r>
          </w:p>
        </w:tc>
        <w:tc>
          <w:tcPr>
            <w:tcW w:w="2520" w:type="dxa"/>
          </w:tcPr>
          <w:p w:rsidR="00B77F43" w:rsidRDefault="009E0FBC" w:rsidP="000448CE">
            <w:pPr>
              <w:jc w:val="center"/>
              <w:rPr>
                <w:b/>
              </w:rPr>
            </w:pPr>
            <w:r w:rsidRPr="009E0FBC">
              <w:rPr>
                <w:b/>
              </w:rPr>
              <w:t>afters</w:t>
            </w:r>
            <w:r>
              <w:rPr>
                <w:b/>
              </w:rPr>
              <w:t>choolallstars.org</w:t>
            </w:r>
          </w:p>
        </w:tc>
      </w:tr>
      <w:tr w:rsidR="008749DD" w:rsidTr="0035684F">
        <w:tc>
          <w:tcPr>
            <w:tcW w:w="1890" w:type="dxa"/>
          </w:tcPr>
          <w:p w:rsidR="008749DD" w:rsidRDefault="00B77F43" w:rsidP="000448CE">
            <w:pPr>
              <w:jc w:val="center"/>
              <w:rPr>
                <w:b/>
              </w:rPr>
            </w:pPr>
            <w:r>
              <w:rPr>
                <w:b/>
              </w:rPr>
              <w:t>Digital Harbor</w:t>
            </w:r>
            <w:r w:rsidR="009E0FBC">
              <w:rPr>
                <w:b/>
              </w:rPr>
              <w:t xml:space="preserve"> Foundation (DHF)</w:t>
            </w:r>
          </w:p>
          <w:p w:rsidR="008C0F4B" w:rsidRDefault="008C0F4B" w:rsidP="000448CE">
            <w:pPr>
              <w:jc w:val="center"/>
              <w:rPr>
                <w:b/>
              </w:rPr>
            </w:pPr>
            <w:r>
              <w:rPr>
                <w:b/>
              </w:rPr>
              <w:t>(MD)</w:t>
            </w:r>
          </w:p>
        </w:tc>
        <w:tc>
          <w:tcPr>
            <w:tcW w:w="6390" w:type="dxa"/>
          </w:tcPr>
          <w:p w:rsidR="008749DD" w:rsidRPr="0035684F" w:rsidRDefault="009E0FBC" w:rsidP="000448CE">
            <w:pPr>
              <w:rPr>
                <w:rFonts w:cstheme="minorHAnsi"/>
                <w:sz w:val="20"/>
                <w:szCs w:val="20"/>
              </w:rPr>
            </w:pPr>
            <w:r w:rsidRPr="0035684F">
              <w:rPr>
                <w:rFonts w:cstheme="minorHAnsi"/>
                <w:iCs/>
                <w:sz w:val="20"/>
                <w:szCs w:val="20"/>
              </w:rPr>
              <w:t xml:space="preserve">DHF </w:t>
            </w:r>
            <w:r w:rsidR="00E97BE1">
              <w:rPr>
                <w:rFonts w:cstheme="minorHAnsi"/>
                <w:iCs/>
                <w:sz w:val="20"/>
                <w:szCs w:val="20"/>
              </w:rPr>
              <w:t>opened in 2013</w:t>
            </w:r>
            <w:r w:rsidRPr="0035684F">
              <w:rPr>
                <w:rFonts w:cstheme="minorHAnsi"/>
                <w:iCs/>
                <w:sz w:val="20"/>
                <w:szCs w:val="20"/>
              </w:rPr>
              <w:t xml:space="preserve"> is a youth centered makerspace dedicated to fostering learning, creativity, productivity and community through education. Programming includes a progression of courses across age groups including a Mini-Makers program for 3</w:t>
            </w:r>
            <w:r w:rsidRPr="0035684F">
              <w:rPr>
                <w:rFonts w:cstheme="minorHAnsi"/>
                <w:iCs/>
                <w:sz w:val="20"/>
                <w:szCs w:val="20"/>
                <w:vertAlign w:val="superscript"/>
              </w:rPr>
              <w:t>rd</w:t>
            </w:r>
            <w:r w:rsidRPr="0035684F">
              <w:rPr>
                <w:rFonts w:cstheme="minorHAnsi"/>
                <w:iCs/>
                <w:sz w:val="20"/>
                <w:szCs w:val="20"/>
              </w:rPr>
              <w:t>-5</w:t>
            </w:r>
            <w:r w:rsidRPr="0035684F">
              <w:rPr>
                <w:rFonts w:cstheme="minorHAnsi"/>
                <w:iCs/>
                <w:sz w:val="20"/>
                <w:szCs w:val="20"/>
                <w:vertAlign w:val="superscript"/>
              </w:rPr>
              <w:t>th</w:t>
            </w:r>
            <w:r w:rsidRPr="0035684F">
              <w:rPr>
                <w:rFonts w:cstheme="minorHAnsi"/>
                <w:iCs/>
                <w:sz w:val="20"/>
                <w:szCs w:val="20"/>
              </w:rPr>
              <w:t xml:space="preserve"> graders, a 14 week tech exploration program for middle-</w:t>
            </w:r>
            <w:proofErr w:type="spellStart"/>
            <w:r w:rsidRPr="0035684F">
              <w:rPr>
                <w:rFonts w:cstheme="minorHAnsi"/>
                <w:iCs/>
                <w:sz w:val="20"/>
                <w:szCs w:val="20"/>
              </w:rPr>
              <w:t>schoolers</w:t>
            </w:r>
            <w:proofErr w:type="spellEnd"/>
            <w:r w:rsidRPr="0035684F">
              <w:rPr>
                <w:rFonts w:cstheme="minorHAnsi"/>
                <w:iCs/>
                <w:sz w:val="20"/>
                <w:szCs w:val="20"/>
              </w:rPr>
              <w:t xml:space="preserve">, and advanced courses for older youth, some which lead to college credits or paid opportunities. The Foundation also offers educator trainings. All programs are </w:t>
            </w:r>
            <w:r w:rsidR="00E97BE1">
              <w:rPr>
                <w:rFonts w:cstheme="minorHAnsi"/>
                <w:iCs/>
                <w:sz w:val="20"/>
                <w:szCs w:val="20"/>
              </w:rPr>
              <w:t>“</w:t>
            </w:r>
            <w:r w:rsidRPr="0035684F">
              <w:rPr>
                <w:rFonts w:cstheme="minorHAnsi"/>
                <w:iCs/>
                <w:sz w:val="20"/>
                <w:szCs w:val="20"/>
              </w:rPr>
              <w:t>pay what you can</w:t>
            </w:r>
            <w:r w:rsidR="00E97BE1">
              <w:rPr>
                <w:rFonts w:cstheme="minorHAnsi"/>
                <w:iCs/>
                <w:sz w:val="20"/>
                <w:szCs w:val="20"/>
              </w:rPr>
              <w:t>,”</w:t>
            </w:r>
            <w:r w:rsidRPr="0035684F">
              <w:rPr>
                <w:rFonts w:cstheme="minorHAnsi"/>
                <w:iCs/>
                <w:sz w:val="20"/>
                <w:szCs w:val="20"/>
              </w:rPr>
              <w:t xml:space="preserve"> supported with a combination of public funds, local business contributions, foundations, and other donations</w:t>
            </w:r>
          </w:p>
        </w:tc>
        <w:tc>
          <w:tcPr>
            <w:tcW w:w="2520" w:type="dxa"/>
          </w:tcPr>
          <w:p w:rsidR="008749DD" w:rsidRDefault="009E0FBC" w:rsidP="000448CE">
            <w:pPr>
              <w:jc w:val="center"/>
              <w:rPr>
                <w:b/>
              </w:rPr>
            </w:pPr>
            <w:r>
              <w:rPr>
                <w:b/>
              </w:rPr>
              <w:t>digitalharbor.org</w:t>
            </w:r>
          </w:p>
        </w:tc>
      </w:tr>
      <w:tr w:rsidR="005E44B9" w:rsidTr="0035684F">
        <w:tc>
          <w:tcPr>
            <w:tcW w:w="1890" w:type="dxa"/>
          </w:tcPr>
          <w:p w:rsidR="008C0F4B" w:rsidRDefault="005E44B9" w:rsidP="000448CE">
            <w:pPr>
              <w:jc w:val="center"/>
              <w:rPr>
                <w:b/>
              </w:rPr>
            </w:pPr>
            <w:r>
              <w:rPr>
                <w:b/>
              </w:rPr>
              <w:t>Schools and Homes in Education (SHINE)</w:t>
            </w:r>
            <w:r w:rsidR="008C0F4B">
              <w:rPr>
                <w:b/>
              </w:rPr>
              <w:t xml:space="preserve"> </w:t>
            </w:r>
          </w:p>
          <w:p w:rsidR="005E44B9" w:rsidRDefault="008C0F4B" w:rsidP="000448CE">
            <w:pPr>
              <w:jc w:val="center"/>
              <w:rPr>
                <w:b/>
              </w:rPr>
            </w:pPr>
            <w:r>
              <w:rPr>
                <w:b/>
              </w:rPr>
              <w:t>(PA)</w:t>
            </w:r>
          </w:p>
        </w:tc>
        <w:tc>
          <w:tcPr>
            <w:tcW w:w="6390" w:type="dxa"/>
          </w:tcPr>
          <w:p w:rsidR="005E44B9" w:rsidRPr="0035684F" w:rsidRDefault="005E44B9" w:rsidP="007B3BE6">
            <w:pPr>
              <w:pStyle w:val="NormalWeb"/>
              <w:rPr>
                <w:rFonts w:asciiTheme="minorHAnsi" w:hAnsiTheme="minorHAnsi" w:cstheme="minorHAnsi"/>
                <w:sz w:val="20"/>
                <w:szCs w:val="20"/>
              </w:rPr>
            </w:pPr>
            <w:r w:rsidRPr="0035684F">
              <w:rPr>
                <w:rFonts w:asciiTheme="minorHAnsi" w:hAnsiTheme="minorHAnsi" w:cstheme="minorHAnsi"/>
                <w:iCs/>
                <w:sz w:val="20"/>
                <w:szCs w:val="20"/>
              </w:rPr>
              <w:t>SHINE</w:t>
            </w:r>
            <w:r w:rsidR="007B3BE6" w:rsidRPr="0035684F">
              <w:rPr>
                <w:rFonts w:asciiTheme="minorHAnsi" w:hAnsiTheme="minorHAnsi" w:cstheme="minorHAnsi"/>
                <w:iCs/>
                <w:sz w:val="20"/>
                <w:szCs w:val="20"/>
              </w:rPr>
              <w:t>, supported in part by 21</w:t>
            </w:r>
            <w:r w:rsidR="007B3BE6" w:rsidRPr="0035684F">
              <w:rPr>
                <w:rFonts w:asciiTheme="minorHAnsi" w:hAnsiTheme="minorHAnsi" w:cstheme="minorHAnsi"/>
                <w:iCs/>
                <w:sz w:val="20"/>
                <w:szCs w:val="20"/>
                <w:vertAlign w:val="superscript"/>
              </w:rPr>
              <w:t>st</w:t>
            </w:r>
            <w:r w:rsidR="007B3BE6" w:rsidRPr="0035684F">
              <w:rPr>
                <w:rFonts w:asciiTheme="minorHAnsi" w:hAnsiTheme="minorHAnsi" w:cstheme="minorHAnsi"/>
                <w:iCs/>
                <w:sz w:val="20"/>
                <w:szCs w:val="20"/>
              </w:rPr>
              <w:t xml:space="preserve"> Century Community Learning Center</w:t>
            </w:r>
            <w:r w:rsidRPr="0035684F">
              <w:rPr>
                <w:rFonts w:asciiTheme="minorHAnsi" w:hAnsiTheme="minorHAnsi" w:cstheme="minorHAnsi"/>
                <w:iCs/>
                <w:sz w:val="20"/>
                <w:szCs w:val="20"/>
              </w:rPr>
              <w:t xml:space="preserve"> </w:t>
            </w:r>
            <w:r w:rsidR="007B3BE6" w:rsidRPr="0035684F">
              <w:rPr>
                <w:rFonts w:asciiTheme="minorHAnsi" w:hAnsiTheme="minorHAnsi" w:cstheme="minorHAnsi"/>
                <w:iCs/>
                <w:sz w:val="20"/>
                <w:szCs w:val="20"/>
              </w:rPr>
              <w:t xml:space="preserve">dollars, </w:t>
            </w:r>
            <w:r w:rsidRPr="0035684F">
              <w:rPr>
                <w:rFonts w:asciiTheme="minorHAnsi" w:hAnsiTheme="minorHAnsi" w:cstheme="minorHAnsi"/>
                <w:iCs/>
                <w:sz w:val="20"/>
                <w:szCs w:val="20"/>
              </w:rPr>
              <w:t xml:space="preserve">offers </w:t>
            </w:r>
            <w:r w:rsidR="007B3BE6" w:rsidRPr="0035684F">
              <w:rPr>
                <w:rFonts w:asciiTheme="minorHAnsi" w:hAnsiTheme="minorHAnsi" w:cstheme="minorHAnsi"/>
                <w:sz w:val="20"/>
                <w:szCs w:val="20"/>
              </w:rPr>
              <w:t>a</w:t>
            </w:r>
            <w:r w:rsidRPr="0035684F">
              <w:rPr>
                <w:rFonts w:asciiTheme="minorHAnsi" w:hAnsiTheme="minorHAnsi" w:cstheme="minorHAnsi"/>
                <w:sz w:val="20"/>
                <w:szCs w:val="20"/>
              </w:rPr>
              <w:t xml:space="preserve"> 36 week hands-on High Priority Occupation Career Academy for middle school students with a focus on STEM.</w:t>
            </w:r>
            <w:r w:rsidR="007B3BE6" w:rsidRPr="0035684F">
              <w:rPr>
                <w:rFonts w:asciiTheme="minorHAnsi" w:hAnsiTheme="minorHAnsi" w:cstheme="minorHAnsi"/>
                <w:sz w:val="20"/>
                <w:szCs w:val="20"/>
              </w:rPr>
              <w:t xml:space="preserve"> Projects include: Building a Real Hovercraft; Environmental Science; Green Energy/Alternative Fuels; Molecular Gastronomy (Food &amp; the role of biotechnology on food); Designing/ Building Cars of the Future; 3D Additive Printing a Human Heart; Designing and Engineering a DUI Taskforce Trailer; You Can be the Chemist; Put the A in STEAM – students get involved in “The Arts”; Engineering and assembling a Slingshot Racecar</w:t>
            </w:r>
          </w:p>
        </w:tc>
        <w:tc>
          <w:tcPr>
            <w:tcW w:w="2520" w:type="dxa"/>
          </w:tcPr>
          <w:p w:rsidR="00146E6F" w:rsidRDefault="007B3BE6" w:rsidP="000448CE">
            <w:pPr>
              <w:jc w:val="center"/>
              <w:rPr>
                <w:b/>
              </w:rPr>
            </w:pPr>
            <w:r w:rsidRPr="007B3BE6">
              <w:rPr>
                <w:b/>
              </w:rPr>
              <w:t>shineafterschool.com/</w:t>
            </w:r>
          </w:p>
          <w:p w:rsidR="005E44B9" w:rsidRDefault="007B3BE6" w:rsidP="000448CE">
            <w:pPr>
              <w:jc w:val="center"/>
              <w:rPr>
                <w:b/>
              </w:rPr>
            </w:pPr>
            <w:proofErr w:type="spellStart"/>
            <w:r w:rsidRPr="007B3BE6">
              <w:rPr>
                <w:b/>
              </w:rPr>
              <w:t>shinewordpress</w:t>
            </w:r>
            <w:proofErr w:type="spellEnd"/>
            <w:r w:rsidRPr="007B3BE6">
              <w:rPr>
                <w:b/>
              </w:rPr>
              <w:t>/about-shine/about-shine-4/</w:t>
            </w:r>
          </w:p>
        </w:tc>
      </w:tr>
      <w:tr w:rsidR="0035684F" w:rsidTr="0035684F">
        <w:tc>
          <w:tcPr>
            <w:tcW w:w="1890" w:type="dxa"/>
          </w:tcPr>
          <w:p w:rsidR="000448CE" w:rsidRDefault="005C78EE" w:rsidP="000448CE">
            <w:pPr>
              <w:jc w:val="center"/>
              <w:rPr>
                <w:b/>
              </w:rPr>
            </w:pPr>
            <w:r>
              <w:rPr>
                <w:b/>
              </w:rPr>
              <w:t>YMCA of Silicon Valley (CA)</w:t>
            </w:r>
            <w:r w:rsidR="00E97BE1">
              <w:rPr>
                <w:b/>
              </w:rPr>
              <w:t xml:space="preserve"> </w:t>
            </w:r>
          </w:p>
          <w:p w:rsidR="00E97BE1" w:rsidRDefault="00E97BE1" w:rsidP="000448CE">
            <w:pPr>
              <w:jc w:val="center"/>
              <w:rPr>
                <w:b/>
              </w:rPr>
            </w:pPr>
            <w:r>
              <w:rPr>
                <w:b/>
              </w:rPr>
              <w:t>(YMCAs -Multiple Locations)</w:t>
            </w:r>
          </w:p>
        </w:tc>
        <w:tc>
          <w:tcPr>
            <w:tcW w:w="6390" w:type="dxa"/>
          </w:tcPr>
          <w:p w:rsidR="000448CE" w:rsidRPr="00E97BE1" w:rsidRDefault="005C78EE" w:rsidP="000448CE">
            <w:pPr>
              <w:rPr>
                <w:rFonts w:cstheme="minorHAnsi"/>
                <w:sz w:val="20"/>
                <w:szCs w:val="20"/>
              </w:rPr>
            </w:pPr>
            <w:r w:rsidRPr="00E97BE1">
              <w:rPr>
                <w:rFonts w:cstheme="minorHAnsi"/>
                <w:sz w:val="20"/>
                <w:szCs w:val="20"/>
              </w:rPr>
              <w:t>The YMCA of Silicon Valley’s sixteen 21</w:t>
            </w:r>
            <w:r w:rsidRPr="00E97BE1">
              <w:rPr>
                <w:rFonts w:cstheme="minorHAnsi"/>
                <w:sz w:val="20"/>
                <w:szCs w:val="20"/>
                <w:vertAlign w:val="superscript"/>
              </w:rPr>
              <w:t>st</w:t>
            </w:r>
            <w:r w:rsidRPr="00E97BE1">
              <w:rPr>
                <w:rFonts w:cstheme="minorHAnsi"/>
                <w:sz w:val="20"/>
                <w:szCs w:val="20"/>
              </w:rPr>
              <w:t xml:space="preserve"> CCLC programs serve more than 1,500 elementary and middle school students each year. The Y’s curriculum is built around teaching and promoting 21</w:t>
            </w:r>
            <w:r w:rsidRPr="00E97BE1">
              <w:rPr>
                <w:rFonts w:cstheme="minorHAnsi"/>
                <w:sz w:val="20"/>
                <w:szCs w:val="20"/>
                <w:vertAlign w:val="superscript"/>
              </w:rPr>
              <w:t>st</w:t>
            </w:r>
            <w:r w:rsidRPr="00E97BE1">
              <w:rPr>
                <w:rFonts w:cstheme="minorHAnsi"/>
                <w:sz w:val="20"/>
                <w:szCs w:val="20"/>
              </w:rPr>
              <w:t xml:space="preserve"> Century skills, with a focus on the “4 Cs”: creativity, collaboration, critical thinking and communication. Programs are woven into the fabric of the school community and are aligned with local school district standards with the goal of creating an extension of services to support children’s learning outside of the classroom. All YMCA centers integrate weekly STEM programming, providing more than 100 hours per year of hands-on activities and leveraging the Y’s extensive network of community partners including the California Polytechnic Institute, Tech Museum of Innovation</w:t>
            </w:r>
            <w:r w:rsidR="00146E6F">
              <w:rPr>
                <w:rFonts w:cstheme="minorHAnsi"/>
                <w:sz w:val="20"/>
                <w:szCs w:val="20"/>
              </w:rPr>
              <w:t>,</w:t>
            </w:r>
            <w:r w:rsidRPr="00E97BE1">
              <w:rPr>
                <w:rFonts w:cstheme="minorHAnsi"/>
                <w:sz w:val="20"/>
                <w:szCs w:val="20"/>
              </w:rPr>
              <w:t xml:space="preserve"> and the Museum of Computer History to engage and educate students about a range of scientific topics.</w:t>
            </w:r>
          </w:p>
        </w:tc>
        <w:tc>
          <w:tcPr>
            <w:tcW w:w="2520" w:type="dxa"/>
          </w:tcPr>
          <w:p w:rsidR="000448CE" w:rsidRDefault="00E97BE1" w:rsidP="000448CE">
            <w:pPr>
              <w:jc w:val="center"/>
              <w:rPr>
                <w:b/>
              </w:rPr>
            </w:pPr>
            <w:r>
              <w:rPr>
                <w:b/>
              </w:rPr>
              <w:t>ymca.org</w:t>
            </w:r>
          </w:p>
        </w:tc>
      </w:tr>
      <w:tr w:rsidR="00CF747C" w:rsidTr="0035684F">
        <w:tc>
          <w:tcPr>
            <w:tcW w:w="1890" w:type="dxa"/>
          </w:tcPr>
          <w:p w:rsidR="002170D8" w:rsidRDefault="00CF747C" w:rsidP="00CF747C">
            <w:pPr>
              <w:jc w:val="center"/>
              <w:rPr>
                <w:b/>
              </w:rPr>
            </w:pPr>
            <w:r>
              <w:rPr>
                <w:b/>
              </w:rPr>
              <w:t>Beyond School Bells – Career Education Afterschool Curriculum</w:t>
            </w:r>
            <w:r w:rsidR="008C0F4B">
              <w:rPr>
                <w:b/>
              </w:rPr>
              <w:t xml:space="preserve"> </w:t>
            </w:r>
          </w:p>
          <w:p w:rsidR="00CF747C" w:rsidRDefault="008C0F4B" w:rsidP="00CF747C">
            <w:pPr>
              <w:jc w:val="center"/>
              <w:rPr>
                <w:b/>
              </w:rPr>
            </w:pPr>
            <w:r>
              <w:rPr>
                <w:b/>
              </w:rPr>
              <w:t>(NE)</w:t>
            </w:r>
          </w:p>
        </w:tc>
        <w:tc>
          <w:tcPr>
            <w:tcW w:w="6390" w:type="dxa"/>
          </w:tcPr>
          <w:p w:rsidR="00CF747C" w:rsidRPr="0035684F" w:rsidRDefault="00CF747C" w:rsidP="00C74C89">
            <w:pPr>
              <w:rPr>
                <w:rFonts w:cstheme="minorHAnsi"/>
                <w:sz w:val="20"/>
                <w:szCs w:val="20"/>
              </w:rPr>
            </w:pPr>
            <w:r w:rsidRPr="0035684F">
              <w:rPr>
                <w:rFonts w:cstheme="minorHAnsi"/>
                <w:sz w:val="20"/>
                <w:szCs w:val="20"/>
              </w:rPr>
              <w:t>The Career Education After School Curriculum is an introduction to and exploration of the six career fields and is designed to be 18 lessons in length. Each of the six career fi</w:t>
            </w:r>
            <w:r w:rsidR="00C74C89">
              <w:rPr>
                <w:rFonts w:cstheme="minorHAnsi"/>
                <w:sz w:val="20"/>
                <w:szCs w:val="20"/>
              </w:rPr>
              <w:t xml:space="preserve">elds </w:t>
            </w:r>
            <w:r w:rsidRPr="0035684F">
              <w:rPr>
                <w:rFonts w:cstheme="minorHAnsi"/>
                <w:sz w:val="20"/>
                <w:szCs w:val="20"/>
              </w:rPr>
              <w:t>cover</w:t>
            </w:r>
            <w:r w:rsidR="00C74C89">
              <w:rPr>
                <w:rFonts w:cstheme="minorHAnsi"/>
                <w:sz w:val="20"/>
                <w:szCs w:val="20"/>
              </w:rPr>
              <w:t>s</w:t>
            </w:r>
            <w:r w:rsidRPr="0035684F">
              <w:rPr>
                <w:rFonts w:cstheme="minorHAnsi"/>
                <w:sz w:val="20"/>
                <w:szCs w:val="20"/>
              </w:rPr>
              <w:t xml:space="preserve"> three themes, intended to: Engage students in an in depth look into the career fields and pathways.  Explore what career possibilities exist within each of the fields for each student. Encounter real life problems—students </w:t>
            </w:r>
            <w:r w:rsidR="00C74C89">
              <w:rPr>
                <w:rFonts w:cstheme="minorHAnsi"/>
                <w:sz w:val="20"/>
                <w:szCs w:val="20"/>
              </w:rPr>
              <w:t>are</w:t>
            </w:r>
            <w:r w:rsidRPr="0035684F">
              <w:rPr>
                <w:rFonts w:cstheme="minorHAnsi"/>
                <w:sz w:val="20"/>
                <w:szCs w:val="20"/>
              </w:rPr>
              <w:t xml:space="preserve"> asked to seek a solution for these problems as if they were already employed in the career field.  Each of the six fields is broken into three lessons: Introduction, Exploration and Demonstration.  A Connection component is an opportunity for students to showcase their unit projects and connect with the community—specifically individuals within the career field they have studied as well as local business, school and government leaders.  </w:t>
            </w:r>
          </w:p>
        </w:tc>
        <w:tc>
          <w:tcPr>
            <w:tcW w:w="2520" w:type="dxa"/>
          </w:tcPr>
          <w:p w:rsidR="00CF747C" w:rsidRDefault="00CF747C" w:rsidP="000448CE">
            <w:pPr>
              <w:jc w:val="center"/>
              <w:rPr>
                <w:b/>
              </w:rPr>
            </w:pPr>
            <w:r w:rsidRPr="00CF747C">
              <w:rPr>
                <w:b/>
              </w:rPr>
              <w:t>beyondschoolbells.org/</w:t>
            </w:r>
            <w:r w:rsidR="00146E6F">
              <w:rPr>
                <w:b/>
              </w:rPr>
              <w:t xml:space="preserve"> </w:t>
            </w:r>
            <w:r w:rsidRPr="00CF747C">
              <w:rPr>
                <w:b/>
              </w:rPr>
              <w:t>resources/bsb-curriculum.html</w:t>
            </w:r>
          </w:p>
        </w:tc>
      </w:tr>
      <w:tr w:rsidR="0035684F" w:rsidTr="0035684F">
        <w:tc>
          <w:tcPr>
            <w:tcW w:w="1890" w:type="dxa"/>
          </w:tcPr>
          <w:p w:rsidR="002170D8" w:rsidRDefault="000448CE" w:rsidP="000448CE">
            <w:pPr>
              <w:jc w:val="center"/>
              <w:rPr>
                <w:b/>
              </w:rPr>
            </w:pPr>
            <w:proofErr w:type="spellStart"/>
            <w:r>
              <w:rPr>
                <w:b/>
              </w:rPr>
              <w:t>Loveworks</w:t>
            </w:r>
            <w:proofErr w:type="spellEnd"/>
            <w:r>
              <w:rPr>
                <w:b/>
              </w:rPr>
              <w:t xml:space="preserve"> Leadership </w:t>
            </w:r>
          </w:p>
          <w:p w:rsidR="000448CE" w:rsidRDefault="000448CE" w:rsidP="000448CE">
            <w:pPr>
              <w:jc w:val="center"/>
              <w:rPr>
                <w:b/>
              </w:rPr>
            </w:pPr>
            <w:r>
              <w:rPr>
                <w:b/>
              </w:rPr>
              <w:t>(OK)</w:t>
            </w:r>
          </w:p>
        </w:tc>
        <w:tc>
          <w:tcPr>
            <w:tcW w:w="6390" w:type="dxa"/>
          </w:tcPr>
          <w:p w:rsidR="000448CE" w:rsidRPr="0035684F" w:rsidRDefault="008749DD" w:rsidP="00E97BE1">
            <w:pPr>
              <w:rPr>
                <w:rFonts w:cstheme="minorHAnsi"/>
                <w:sz w:val="20"/>
                <w:szCs w:val="20"/>
              </w:rPr>
            </w:pPr>
            <w:r w:rsidRPr="0035684F">
              <w:rPr>
                <w:rFonts w:cstheme="minorHAnsi"/>
                <w:sz w:val="20"/>
                <w:szCs w:val="20"/>
              </w:rPr>
              <w:t xml:space="preserve">A free afterschool program </w:t>
            </w:r>
            <w:r w:rsidR="00E97BE1">
              <w:rPr>
                <w:rFonts w:cstheme="minorHAnsi"/>
                <w:sz w:val="20"/>
                <w:szCs w:val="20"/>
              </w:rPr>
              <w:t>started</w:t>
            </w:r>
            <w:r w:rsidR="000448CE" w:rsidRPr="0035684F">
              <w:rPr>
                <w:rFonts w:cstheme="minorHAnsi"/>
                <w:sz w:val="20"/>
                <w:szCs w:val="20"/>
              </w:rPr>
              <w:t xml:space="preserve"> in 2011, and having served over 10,000 youth ages 11-14 with programs that include experiential leadership projects, community outreach, personal character development, career components, and mentorship. Students have started a REAL Kitchen which sells fresh salsa</w:t>
            </w:r>
            <w:r w:rsidRPr="0035684F">
              <w:rPr>
                <w:rFonts w:cstheme="minorHAnsi"/>
                <w:sz w:val="20"/>
                <w:szCs w:val="20"/>
              </w:rPr>
              <w:t xml:space="preserve"> in the area</w:t>
            </w:r>
            <w:r w:rsidR="00C74C89">
              <w:rPr>
                <w:rFonts w:cstheme="minorHAnsi"/>
                <w:sz w:val="20"/>
                <w:szCs w:val="20"/>
              </w:rPr>
              <w:t xml:space="preserve"> and augmented reality wristband company</w:t>
            </w:r>
            <w:r w:rsidRPr="0035684F">
              <w:rPr>
                <w:rFonts w:cstheme="minorHAnsi"/>
                <w:sz w:val="20"/>
                <w:szCs w:val="20"/>
              </w:rPr>
              <w:t xml:space="preserve">. </w:t>
            </w:r>
          </w:p>
        </w:tc>
        <w:tc>
          <w:tcPr>
            <w:tcW w:w="2520" w:type="dxa"/>
          </w:tcPr>
          <w:p w:rsidR="000448CE" w:rsidRDefault="000448CE" w:rsidP="000448CE">
            <w:pPr>
              <w:jc w:val="center"/>
              <w:rPr>
                <w:b/>
              </w:rPr>
            </w:pPr>
            <w:r w:rsidRPr="000448CE">
              <w:rPr>
                <w:b/>
              </w:rPr>
              <w:t>loveworksleadership.org</w:t>
            </w:r>
          </w:p>
        </w:tc>
      </w:tr>
      <w:tr w:rsidR="005F7B10" w:rsidTr="0035684F">
        <w:tc>
          <w:tcPr>
            <w:tcW w:w="1890" w:type="dxa"/>
          </w:tcPr>
          <w:p w:rsidR="005F7B10" w:rsidRDefault="005E44B9" w:rsidP="000448CE">
            <w:pPr>
              <w:jc w:val="center"/>
              <w:rPr>
                <w:b/>
              </w:rPr>
            </w:pPr>
            <w:proofErr w:type="spellStart"/>
            <w:r>
              <w:rPr>
                <w:b/>
              </w:rPr>
              <w:lastRenderedPageBreak/>
              <w:t>Cryptoclub</w:t>
            </w:r>
            <w:proofErr w:type="spellEnd"/>
          </w:p>
          <w:p w:rsidR="008C0F4B" w:rsidRDefault="00E97BE1" w:rsidP="000448CE">
            <w:pPr>
              <w:jc w:val="center"/>
              <w:rPr>
                <w:b/>
              </w:rPr>
            </w:pPr>
            <w:r>
              <w:rPr>
                <w:b/>
              </w:rPr>
              <w:t>(Multiple Locations)</w:t>
            </w:r>
          </w:p>
        </w:tc>
        <w:tc>
          <w:tcPr>
            <w:tcW w:w="6390" w:type="dxa"/>
          </w:tcPr>
          <w:p w:rsidR="005F7B10" w:rsidRPr="0035684F" w:rsidRDefault="005F7B10" w:rsidP="005E44B9">
            <w:pPr>
              <w:pStyle w:val="NormalWeb"/>
              <w:rPr>
                <w:rFonts w:asciiTheme="minorHAnsi" w:hAnsiTheme="minorHAnsi" w:cstheme="minorHAnsi"/>
                <w:sz w:val="20"/>
                <w:szCs w:val="20"/>
              </w:rPr>
            </w:pPr>
            <w:r w:rsidRPr="0035684F">
              <w:rPr>
                <w:rFonts w:asciiTheme="minorHAnsi" w:hAnsiTheme="minorHAnsi" w:cstheme="minorHAnsi"/>
                <w:sz w:val="20"/>
                <w:szCs w:val="20"/>
              </w:rPr>
              <w:t xml:space="preserve">The </w:t>
            </w:r>
            <w:proofErr w:type="spellStart"/>
            <w:r w:rsidRPr="0035684F">
              <w:rPr>
                <w:rFonts w:asciiTheme="minorHAnsi" w:hAnsiTheme="minorHAnsi" w:cstheme="minorHAnsi"/>
                <w:sz w:val="20"/>
                <w:szCs w:val="20"/>
              </w:rPr>
              <w:t>CryptoClub</w:t>
            </w:r>
            <w:proofErr w:type="spellEnd"/>
            <w:r w:rsidRPr="0035684F">
              <w:rPr>
                <w:rFonts w:asciiTheme="minorHAnsi" w:hAnsiTheme="minorHAnsi" w:cstheme="minorHAnsi"/>
                <w:sz w:val="20"/>
                <w:szCs w:val="20"/>
              </w:rPr>
              <w:t xml:space="preserve"> project </w:t>
            </w:r>
            <w:r w:rsidR="005E44B9" w:rsidRPr="0035684F">
              <w:rPr>
                <w:rFonts w:asciiTheme="minorHAnsi" w:hAnsiTheme="minorHAnsi" w:cstheme="minorHAnsi"/>
                <w:sz w:val="20"/>
                <w:szCs w:val="20"/>
              </w:rPr>
              <w:t xml:space="preserve">is based on the belief that teaching </w:t>
            </w:r>
            <w:proofErr w:type="gramStart"/>
            <w:r w:rsidR="005E44B9" w:rsidRPr="0035684F">
              <w:rPr>
                <w:rFonts w:asciiTheme="minorHAnsi" w:hAnsiTheme="minorHAnsi" w:cstheme="minorHAnsi"/>
                <w:sz w:val="20"/>
                <w:szCs w:val="20"/>
              </w:rPr>
              <w:t>students</w:t>
            </w:r>
            <w:proofErr w:type="gramEnd"/>
            <w:r w:rsidR="005E44B9" w:rsidRPr="0035684F">
              <w:rPr>
                <w:rFonts w:asciiTheme="minorHAnsi" w:hAnsiTheme="minorHAnsi" w:cstheme="minorHAnsi"/>
                <w:sz w:val="20"/>
                <w:szCs w:val="20"/>
              </w:rPr>
              <w:t xml:space="preserve"> cryptography is a great opportunity to immerse them in mathematical thinking and problem solving, while introducing them to a topic that is important in today’s world. </w:t>
            </w:r>
            <w:r w:rsidRPr="0035684F">
              <w:rPr>
                <w:rFonts w:asciiTheme="minorHAnsi" w:hAnsiTheme="minorHAnsi" w:cstheme="minorHAnsi"/>
                <w:sz w:val="20"/>
                <w:szCs w:val="20"/>
              </w:rPr>
              <w:t>Through a series of grants from the National S</w:t>
            </w:r>
            <w:r w:rsidR="00C74C89">
              <w:rPr>
                <w:rFonts w:asciiTheme="minorHAnsi" w:hAnsiTheme="minorHAnsi" w:cstheme="minorHAnsi"/>
                <w:sz w:val="20"/>
                <w:szCs w:val="20"/>
              </w:rPr>
              <w:t xml:space="preserve">cience Foundation, the team </w:t>
            </w:r>
            <w:r w:rsidRPr="0035684F">
              <w:rPr>
                <w:rFonts w:asciiTheme="minorHAnsi" w:hAnsiTheme="minorHAnsi" w:cstheme="minorHAnsi"/>
                <w:sz w:val="20"/>
                <w:szCs w:val="20"/>
              </w:rPr>
              <w:t xml:space="preserve">developed books and digital activities for teaching cryptography to middle school students. </w:t>
            </w:r>
            <w:r w:rsidR="00C74C89">
              <w:rPr>
                <w:rFonts w:asciiTheme="minorHAnsi" w:hAnsiTheme="minorHAnsi" w:cstheme="minorHAnsi"/>
                <w:sz w:val="20"/>
                <w:szCs w:val="20"/>
              </w:rPr>
              <w:t xml:space="preserve">The project has </w:t>
            </w:r>
            <w:r w:rsidRPr="0035684F">
              <w:rPr>
                <w:rFonts w:asciiTheme="minorHAnsi" w:hAnsiTheme="minorHAnsi" w:cstheme="minorHAnsi"/>
                <w:sz w:val="20"/>
                <w:szCs w:val="20"/>
              </w:rPr>
              <w:t xml:space="preserve">trained over 250 educators who have led </w:t>
            </w:r>
            <w:proofErr w:type="spellStart"/>
            <w:r w:rsidRPr="0035684F">
              <w:rPr>
                <w:rFonts w:asciiTheme="minorHAnsi" w:hAnsiTheme="minorHAnsi" w:cstheme="minorHAnsi"/>
                <w:sz w:val="20"/>
                <w:szCs w:val="20"/>
              </w:rPr>
              <w:t>CryptoClub</w:t>
            </w:r>
            <w:proofErr w:type="spellEnd"/>
            <w:r w:rsidRPr="0035684F">
              <w:rPr>
                <w:rFonts w:asciiTheme="minorHAnsi" w:hAnsiTheme="minorHAnsi" w:cstheme="minorHAnsi"/>
                <w:sz w:val="20"/>
                <w:szCs w:val="20"/>
              </w:rPr>
              <w:t xml:space="preserve"> programs for over 3000 students in locations around the country, including schools, Boys and Girls Clubs, libraries, 4-H Clubs, YMCAs, and other informal educational sites.</w:t>
            </w:r>
          </w:p>
        </w:tc>
        <w:tc>
          <w:tcPr>
            <w:tcW w:w="2520" w:type="dxa"/>
          </w:tcPr>
          <w:p w:rsidR="005F7B10" w:rsidRPr="000448CE" w:rsidRDefault="005E44B9" w:rsidP="000448CE">
            <w:pPr>
              <w:jc w:val="center"/>
              <w:rPr>
                <w:b/>
              </w:rPr>
            </w:pPr>
            <w:proofErr w:type="spellStart"/>
            <w:proofErr w:type="gramStart"/>
            <w:r w:rsidRPr="005E44B9">
              <w:rPr>
                <w:b/>
              </w:rPr>
              <w:t>cryptoclubproject</w:t>
            </w:r>
            <w:proofErr w:type="spellEnd"/>
            <w:proofErr w:type="gramEnd"/>
            <w:r w:rsidRPr="005E44B9">
              <w:rPr>
                <w:b/>
              </w:rPr>
              <w:t>.</w:t>
            </w:r>
            <w:r w:rsidR="00146E6F">
              <w:rPr>
                <w:b/>
              </w:rPr>
              <w:t xml:space="preserve"> </w:t>
            </w:r>
            <w:r w:rsidRPr="005E44B9">
              <w:rPr>
                <w:b/>
              </w:rPr>
              <w:t>uchicago.edu</w:t>
            </w:r>
          </w:p>
        </w:tc>
      </w:tr>
      <w:tr w:rsidR="0035684F" w:rsidTr="0035684F">
        <w:tc>
          <w:tcPr>
            <w:tcW w:w="1890" w:type="dxa"/>
          </w:tcPr>
          <w:p w:rsidR="000448CE" w:rsidRDefault="00B77F43" w:rsidP="000448CE">
            <w:pPr>
              <w:jc w:val="center"/>
              <w:rPr>
                <w:b/>
              </w:rPr>
            </w:pPr>
            <w:r>
              <w:rPr>
                <w:b/>
              </w:rPr>
              <w:t>Experience Aviation</w:t>
            </w:r>
          </w:p>
          <w:p w:rsidR="008C0F4B" w:rsidRDefault="00E97BE1" w:rsidP="000448CE">
            <w:pPr>
              <w:jc w:val="center"/>
              <w:rPr>
                <w:b/>
              </w:rPr>
            </w:pPr>
            <w:r>
              <w:rPr>
                <w:b/>
              </w:rPr>
              <w:t>(Multiple Locations)</w:t>
            </w:r>
          </w:p>
        </w:tc>
        <w:tc>
          <w:tcPr>
            <w:tcW w:w="6390" w:type="dxa"/>
          </w:tcPr>
          <w:p w:rsidR="000448CE" w:rsidRPr="0035684F" w:rsidRDefault="00B77F43" w:rsidP="00C02783">
            <w:pPr>
              <w:rPr>
                <w:rFonts w:cstheme="minorHAnsi"/>
                <w:sz w:val="20"/>
                <w:szCs w:val="20"/>
              </w:rPr>
            </w:pPr>
            <w:r w:rsidRPr="0035684F">
              <w:rPr>
                <w:rFonts w:cstheme="minorHAnsi"/>
                <w:sz w:val="20"/>
                <w:szCs w:val="20"/>
                <w:shd w:val="clear" w:color="auto" w:fill="FFFFFF"/>
              </w:rPr>
              <w:t xml:space="preserve">Captain Barrington Irving secured his place in history </w:t>
            </w:r>
            <w:r w:rsidR="00C02783" w:rsidRPr="0035684F">
              <w:rPr>
                <w:rFonts w:cstheme="minorHAnsi"/>
                <w:sz w:val="20"/>
                <w:szCs w:val="20"/>
                <w:shd w:val="clear" w:color="auto" w:fill="FFFFFF"/>
              </w:rPr>
              <w:t xml:space="preserve">when 23 years old </w:t>
            </w:r>
            <w:r w:rsidRPr="0035684F">
              <w:rPr>
                <w:rFonts w:cstheme="minorHAnsi"/>
                <w:sz w:val="20"/>
                <w:szCs w:val="20"/>
                <w:shd w:val="clear" w:color="auto" w:fill="FFFFFF"/>
              </w:rPr>
              <w:t>as the youngest person and first black pilot to fly solo around the globe. By 2006, he opened the Miami-based nonprofit organization Experience Aviation (EA) Learning Center to provide middle and high school students with STEM programs and career guidance.  Shortly after Barrington's historic flight, he challenged a group of students, many from failing schools to build an experimental aircraft in 10 weeks.  He then flew it on its first flight marking the beginning of Experience Aviation's Build and Soar Program.</w:t>
            </w:r>
            <w:r w:rsidR="00A35423" w:rsidRPr="0035684F">
              <w:rPr>
                <w:rFonts w:cstheme="minorHAnsi"/>
                <w:sz w:val="20"/>
                <w:szCs w:val="20"/>
                <w:shd w:val="clear" w:color="auto" w:fill="FFFFFF"/>
              </w:rPr>
              <w:t xml:space="preserve"> The program has now has over 3100 program graduates and has awarded over $2 million in scholarships. </w:t>
            </w:r>
          </w:p>
        </w:tc>
        <w:tc>
          <w:tcPr>
            <w:tcW w:w="2520" w:type="dxa"/>
          </w:tcPr>
          <w:p w:rsidR="000448CE" w:rsidRDefault="00C02783" w:rsidP="00E97BE1">
            <w:pPr>
              <w:jc w:val="center"/>
              <w:rPr>
                <w:b/>
              </w:rPr>
            </w:pPr>
            <w:r>
              <w:rPr>
                <w:b/>
              </w:rPr>
              <w:t>e</w:t>
            </w:r>
            <w:r w:rsidR="00A35423" w:rsidRPr="00A35423">
              <w:rPr>
                <w:b/>
              </w:rPr>
              <w:t>xperienceaviation.org</w:t>
            </w:r>
          </w:p>
        </w:tc>
      </w:tr>
      <w:tr w:rsidR="009E0FBC" w:rsidTr="0035684F">
        <w:tc>
          <w:tcPr>
            <w:tcW w:w="1890" w:type="dxa"/>
          </w:tcPr>
          <w:p w:rsidR="009E0FBC" w:rsidRPr="00404E67" w:rsidRDefault="009E0FBC" w:rsidP="000448CE">
            <w:pPr>
              <w:jc w:val="center"/>
              <w:rPr>
                <w:b/>
              </w:rPr>
            </w:pPr>
            <w:proofErr w:type="spellStart"/>
            <w:r w:rsidRPr="00404E67">
              <w:rPr>
                <w:b/>
              </w:rPr>
              <w:t>WeThrive</w:t>
            </w:r>
            <w:proofErr w:type="spellEnd"/>
            <w:r w:rsidRPr="00404E67">
              <w:rPr>
                <w:b/>
              </w:rPr>
              <w:t xml:space="preserve"> </w:t>
            </w:r>
          </w:p>
          <w:p w:rsidR="008C0F4B" w:rsidRPr="00404E67" w:rsidRDefault="00E97BE1" w:rsidP="000448CE">
            <w:pPr>
              <w:jc w:val="center"/>
              <w:rPr>
                <w:b/>
              </w:rPr>
            </w:pPr>
            <w:r>
              <w:rPr>
                <w:b/>
              </w:rPr>
              <w:t>(Multiple Locations)</w:t>
            </w:r>
          </w:p>
        </w:tc>
        <w:tc>
          <w:tcPr>
            <w:tcW w:w="6390" w:type="dxa"/>
          </w:tcPr>
          <w:p w:rsidR="009E0FBC" w:rsidRPr="0035684F" w:rsidRDefault="009E0FBC" w:rsidP="009E0FBC">
            <w:pPr>
              <w:rPr>
                <w:rFonts w:cstheme="minorHAnsi"/>
                <w:sz w:val="20"/>
                <w:szCs w:val="20"/>
              </w:rPr>
            </w:pPr>
            <w:proofErr w:type="spellStart"/>
            <w:r w:rsidRPr="0035684F">
              <w:rPr>
                <w:rFonts w:cstheme="minorHAnsi"/>
                <w:color w:val="222222"/>
                <w:sz w:val="20"/>
                <w:szCs w:val="20"/>
                <w:shd w:val="clear" w:color="auto" w:fill="FFFFFF"/>
              </w:rPr>
              <w:t>WeThrive</w:t>
            </w:r>
            <w:proofErr w:type="spellEnd"/>
            <w:r w:rsidRPr="0035684F">
              <w:rPr>
                <w:rFonts w:cstheme="minorHAnsi"/>
                <w:color w:val="222222"/>
                <w:sz w:val="20"/>
                <w:szCs w:val="20"/>
                <w:shd w:val="clear" w:color="auto" w:fill="FFFFFF"/>
              </w:rPr>
              <w:t xml:space="preserve"> equips and empowers low-income 7th-10th grade youth to rise as entrepreneurial economic leaders. The students we serve are bursting with ideas to break the cycle of poverty, but for too many times in their young lives, they have been told No. </w:t>
            </w:r>
            <w:proofErr w:type="spellStart"/>
            <w:r w:rsidRPr="0035684F">
              <w:rPr>
                <w:rFonts w:cstheme="minorHAnsi"/>
                <w:color w:val="222222"/>
                <w:sz w:val="20"/>
                <w:szCs w:val="20"/>
                <w:shd w:val="clear" w:color="auto" w:fill="FFFFFF"/>
              </w:rPr>
              <w:t>WeThrive</w:t>
            </w:r>
            <w:proofErr w:type="spellEnd"/>
            <w:r w:rsidRPr="0035684F">
              <w:rPr>
                <w:rFonts w:cstheme="minorHAnsi"/>
                <w:color w:val="222222"/>
                <w:sz w:val="20"/>
                <w:szCs w:val="20"/>
                <w:shd w:val="clear" w:color="auto" w:fill="FFFFFF"/>
              </w:rPr>
              <w:t xml:space="preserve"> reaches students in middle school while habits and identities are still forming, giving them an encouraging Yes to their dreams of entrepreneurship – along with the toolset to make them real. With encouragement and support from their entrepreneurial educators, each student creates their very own company, earning real revenues and donating profits to a charity of their choice.</w:t>
            </w:r>
          </w:p>
        </w:tc>
        <w:tc>
          <w:tcPr>
            <w:tcW w:w="2520" w:type="dxa"/>
          </w:tcPr>
          <w:p w:rsidR="009E0FBC" w:rsidRPr="00A35423" w:rsidRDefault="00C02783" w:rsidP="00E97BE1">
            <w:pPr>
              <w:jc w:val="center"/>
              <w:rPr>
                <w:b/>
              </w:rPr>
            </w:pPr>
            <w:r>
              <w:rPr>
                <w:b/>
              </w:rPr>
              <w:t>teamwethrive.org</w:t>
            </w:r>
          </w:p>
        </w:tc>
      </w:tr>
      <w:tr w:rsidR="0035684F" w:rsidTr="0035684F">
        <w:tc>
          <w:tcPr>
            <w:tcW w:w="1890" w:type="dxa"/>
          </w:tcPr>
          <w:p w:rsidR="0035684F" w:rsidRPr="00404E67" w:rsidRDefault="00404E67" w:rsidP="0035684F">
            <w:pPr>
              <w:jc w:val="center"/>
              <w:rPr>
                <w:b/>
              </w:rPr>
            </w:pPr>
            <w:r w:rsidRPr="00404E67">
              <w:rPr>
                <w:b/>
              </w:rPr>
              <w:t>Boys &amp; Girls Clubs of Hutchinson (BGC Hutchi</w:t>
            </w:r>
            <w:r w:rsidR="00E97BE1">
              <w:rPr>
                <w:b/>
              </w:rPr>
              <w:t>n</w:t>
            </w:r>
            <w:r w:rsidRPr="00404E67">
              <w:rPr>
                <w:b/>
              </w:rPr>
              <w:t>son)</w:t>
            </w:r>
          </w:p>
          <w:p w:rsidR="00404E67" w:rsidRDefault="00404E67" w:rsidP="0035684F">
            <w:pPr>
              <w:jc w:val="center"/>
              <w:rPr>
                <w:b/>
              </w:rPr>
            </w:pPr>
            <w:r w:rsidRPr="00404E67">
              <w:rPr>
                <w:b/>
              </w:rPr>
              <w:t>(KS)</w:t>
            </w:r>
          </w:p>
          <w:p w:rsidR="00E97BE1" w:rsidRPr="00404E67" w:rsidRDefault="00E97BE1" w:rsidP="0035684F">
            <w:pPr>
              <w:jc w:val="center"/>
              <w:rPr>
                <w:b/>
                <w:bCs/>
              </w:rPr>
            </w:pPr>
            <w:r>
              <w:rPr>
                <w:b/>
              </w:rPr>
              <w:t>(BGC -Multiple Locations)</w:t>
            </w:r>
          </w:p>
        </w:tc>
        <w:tc>
          <w:tcPr>
            <w:tcW w:w="6390" w:type="dxa"/>
          </w:tcPr>
          <w:p w:rsidR="0035684F" w:rsidRPr="00E97BE1" w:rsidRDefault="00404E67" w:rsidP="00E97BE1">
            <w:pPr>
              <w:rPr>
                <w:sz w:val="20"/>
                <w:szCs w:val="20"/>
              </w:rPr>
            </w:pPr>
            <w:r w:rsidRPr="00404E67">
              <w:rPr>
                <w:sz w:val="20"/>
                <w:szCs w:val="20"/>
              </w:rPr>
              <w:t>BGC Hutchi</w:t>
            </w:r>
            <w:r w:rsidR="00E97BE1">
              <w:rPr>
                <w:sz w:val="20"/>
                <w:szCs w:val="20"/>
              </w:rPr>
              <w:t>n</w:t>
            </w:r>
            <w:r w:rsidRPr="00404E67">
              <w:rPr>
                <w:sz w:val="20"/>
                <w:szCs w:val="20"/>
              </w:rPr>
              <w:t xml:space="preserve">son’s EPIC </w:t>
            </w:r>
            <w:proofErr w:type="spellStart"/>
            <w:r w:rsidRPr="00404E67">
              <w:rPr>
                <w:sz w:val="20"/>
                <w:szCs w:val="20"/>
              </w:rPr>
              <w:t>Skillz</w:t>
            </w:r>
            <w:proofErr w:type="spellEnd"/>
            <w:r w:rsidRPr="00404E67">
              <w:rPr>
                <w:sz w:val="20"/>
                <w:szCs w:val="20"/>
              </w:rPr>
              <w:t xml:space="preserve"> Program, </w:t>
            </w:r>
            <w:proofErr w:type="spellStart"/>
            <w:r w:rsidRPr="00404E67">
              <w:rPr>
                <w:sz w:val="20"/>
                <w:szCs w:val="20"/>
              </w:rPr>
              <w:t>CareerLaunch</w:t>
            </w:r>
            <w:proofErr w:type="spellEnd"/>
            <w:r w:rsidRPr="00404E67">
              <w:rPr>
                <w:sz w:val="20"/>
                <w:szCs w:val="20"/>
              </w:rPr>
              <w:t xml:space="preserve"> and Money Matters programs provide 7th and 8th graders opportunities to explore careers in their community. Students learn important employability skills, engage in hands-on activities highlighting career paths in </w:t>
            </w:r>
            <w:r w:rsidR="00E97BE1" w:rsidRPr="00404E67">
              <w:rPr>
                <w:sz w:val="20"/>
                <w:szCs w:val="20"/>
              </w:rPr>
              <w:t>Hutchinson</w:t>
            </w:r>
            <w:r w:rsidRPr="00404E67">
              <w:rPr>
                <w:sz w:val="20"/>
                <w:szCs w:val="20"/>
              </w:rPr>
              <w:t xml:space="preserve"> and tour local businesses.</w:t>
            </w:r>
          </w:p>
        </w:tc>
        <w:tc>
          <w:tcPr>
            <w:tcW w:w="2520" w:type="dxa"/>
          </w:tcPr>
          <w:p w:rsidR="0035684F" w:rsidRPr="00404E67" w:rsidRDefault="00806EBE" w:rsidP="0035684F">
            <w:pPr>
              <w:jc w:val="center"/>
              <w:rPr>
                <w:rFonts w:ascii="Calibri" w:hAnsi="Calibri" w:cs="Calibri"/>
                <w:b/>
                <w:bCs/>
                <w:sz w:val="20"/>
                <w:szCs w:val="20"/>
              </w:rPr>
            </w:pPr>
            <w:r>
              <w:rPr>
                <w:b/>
                <w:bCs/>
                <w:sz w:val="20"/>
                <w:szCs w:val="20"/>
              </w:rPr>
              <w:t>b</w:t>
            </w:r>
            <w:r w:rsidR="0035684F" w:rsidRPr="00404E67">
              <w:rPr>
                <w:b/>
                <w:bCs/>
                <w:sz w:val="20"/>
                <w:szCs w:val="20"/>
              </w:rPr>
              <w:t>gca.org</w:t>
            </w:r>
          </w:p>
        </w:tc>
      </w:tr>
      <w:tr w:rsidR="008A096E" w:rsidTr="00E97BE1">
        <w:trPr>
          <w:trHeight w:val="2240"/>
        </w:trPr>
        <w:tc>
          <w:tcPr>
            <w:tcW w:w="1890" w:type="dxa"/>
          </w:tcPr>
          <w:p w:rsidR="008A096E" w:rsidRDefault="00B626AA" w:rsidP="008A096E">
            <w:pPr>
              <w:jc w:val="center"/>
              <w:rPr>
                <w:b/>
              </w:rPr>
            </w:pPr>
            <w:r>
              <w:rPr>
                <w:b/>
              </w:rPr>
              <w:t xml:space="preserve">South Carolina Afterschool </w:t>
            </w:r>
            <w:r w:rsidR="00E97BE1">
              <w:rPr>
                <w:b/>
              </w:rPr>
              <w:t xml:space="preserve">(SCAA) </w:t>
            </w:r>
            <w:r>
              <w:rPr>
                <w:b/>
              </w:rPr>
              <w:t>Network Digital Badging Project</w:t>
            </w:r>
          </w:p>
          <w:p w:rsidR="008C0F4B" w:rsidRDefault="008C0F4B" w:rsidP="008A096E">
            <w:pPr>
              <w:jc w:val="center"/>
              <w:rPr>
                <w:b/>
              </w:rPr>
            </w:pPr>
            <w:r>
              <w:rPr>
                <w:b/>
              </w:rPr>
              <w:t>(SC)</w:t>
            </w:r>
          </w:p>
        </w:tc>
        <w:tc>
          <w:tcPr>
            <w:tcW w:w="6390" w:type="dxa"/>
          </w:tcPr>
          <w:p w:rsidR="008A096E" w:rsidRPr="0035684F" w:rsidRDefault="00B626AA" w:rsidP="00C74C89">
            <w:pPr>
              <w:pStyle w:val="NormalWeb"/>
              <w:spacing w:before="0" w:beforeAutospacing="0" w:after="360" w:afterAutospacing="0"/>
              <w:rPr>
                <w:rFonts w:asciiTheme="minorHAnsi" w:hAnsiTheme="minorHAnsi" w:cstheme="minorHAnsi"/>
                <w:color w:val="404040"/>
                <w:sz w:val="20"/>
                <w:szCs w:val="20"/>
              </w:rPr>
            </w:pPr>
            <w:r w:rsidRPr="0035684F">
              <w:rPr>
                <w:rFonts w:asciiTheme="minorHAnsi" w:hAnsiTheme="minorHAnsi" w:cstheme="minorHAnsi"/>
                <w:color w:val="404040"/>
                <w:sz w:val="20"/>
                <w:szCs w:val="20"/>
              </w:rPr>
              <w:t>The SCAA is developing the College and Career Innovation Digital Badge (CCIDB). The CCIDB will validate student</w:t>
            </w:r>
            <w:r w:rsidR="00C74C89">
              <w:rPr>
                <w:rFonts w:asciiTheme="minorHAnsi" w:hAnsiTheme="minorHAnsi" w:cstheme="minorHAnsi"/>
                <w:color w:val="404040"/>
                <w:sz w:val="20"/>
                <w:szCs w:val="20"/>
              </w:rPr>
              <w:t>s’</w:t>
            </w:r>
            <w:r w:rsidRPr="0035684F">
              <w:rPr>
                <w:rFonts w:asciiTheme="minorHAnsi" w:hAnsiTheme="minorHAnsi" w:cstheme="minorHAnsi"/>
                <w:color w:val="404040"/>
                <w:sz w:val="20"/>
                <w:szCs w:val="20"/>
              </w:rPr>
              <w:t xml:space="preserve"> progress towards college and career </w:t>
            </w:r>
            <w:r w:rsidR="00C74C89">
              <w:rPr>
                <w:rFonts w:asciiTheme="minorHAnsi" w:hAnsiTheme="minorHAnsi" w:cstheme="minorHAnsi"/>
                <w:color w:val="404040"/>
                <w:sz w:val="20"/>
                <w:szCs w:val="20"/>
              </w:rPr>
              <w:t xml:space="preserve">readiness by providing </w:t>
            </w:r>
            <w:r w:rsidRPr="0035684F">
              <w:rPr>
                <w:rFonts w:asciiTheme="minorHAnsi" w:hAnsiTheme="minorHAnsi" w:cstheme="minorHAnsi"/>
                <w:color w:val="404040"/>
                <w:sz w:val="20"/>
                <w:szCs w:val="20"/>
              </w:rPr>
              <w:t xml:space="preserve">digital badges that recognize the skills, knowledge, and characteristics </w:t>
            </w:r>
            <w:r w:rsidR="00C74C89">
              <w:rPr>
                <w:rFonts w:asciiTheme="minorHAnsi" w:hAnsiTheme="minorHAnsi" w:cstheme="minorHAnsi"/>
                <w:color w:val="404040"/>
                <w:sz w:val="20"/>
                <w:szCs w:val="20"/>
              </w:rPr>
              <w:t>a student is acquiring in</w:t>
            </w:r>
            <w:r w:rsidRPr="0035684F">
              <w:rPr>
                <w:rFonts w:asciiTheme="minorHAnsi" w:hAnsiTheme="minorHAnsi" w:cstheme="minorHAnsi"/>
                <w:color w:val="404040"/>
                <w:sz w:val="20"/>
                <w:szCs w:val="20"/>
              </w:rPr>
              <w:t xml:space="preserve"> afterschool settings, through self-guided instruction, or in the traditional classroom environment. The CCIDB will help student</w:t>
            </w:r>
            <w:r w:rsidR="00C74C89">
              <w:rPr>
                <w:rFonts w:asciiTheme="minorHAnsi" w:hAnsiTheme="minorHAnsi" w:cstheme="minorHAnsi"/>
                <w:color w:val="404040"/>
                <w:sz w:val="20"/>
                <w:szCs w:val="20"/>
              </w:rPr>
              <w:t>s</w:t>
            </w:r>
            <w:r w:rsidRPr="0035684F">
              <w:rPr>
                <w:rFonts w:asciiTheme="minorHAnsi" w:hAnsiTheme="minorHAnsi" w:cstheme="minorHAnsi"/>
                <w:color w:val="404040"/>
                <w:sz w:val="20"/>
                <w:szCs w:val="20"/>
              </w:rPr>
              <w:t xml:space="preserve"> see how well they are navigating towards the Profile of the South Carolina Graduate, a college and career readiness aspiration set by the South Ca</w:t>
            </w:r>
            <w:r w:rsidR="00E97BE1">
              <w:rPr>
                <w:rFonts w:asciiTheme="minorHAnsi" w:hAnsiTheme="minorHAnsi" w:cstheme="minorHAnsi"/>
                <w:color w:val="404040"/>
                <w:sz w:val="20"/>
                <w:szCs w:val="20"/>
              </w:rPr>
              <w:t>r</w:t>
            </w:r>
            <w:r w:rsidR="00C74C89">
              <w:rPr>
                <w:rFonts w:asciiTheme="minorHAnsi" w:hAnsiTheme="minorHAnsi" w:cstheme="minorHAnsi"/>
                <w:color w:val="404040"/>
                <w:sz w:val="20"/>
                <w:szCs w:val="20"/>
              </w:rPr>
              <w:t>olina State Board of Education.</w:t>
            </w:r>
          </w:p>
        </w:tc>
        <w:tc>
          <w:tcPr>
            <w:tcW w:w="2520" w:type="dxa"/>
          </w:tcPr>
          <w:p w:rsidR="00146E6F" w:rsidRDefault="00B626AA" w:rsidP="008A096E">
            <w:pPr>
              <w:jc w:val="center"/>
              <w:rPr>
                <w:b/>
              </w:rPr>
            </w:pPr>
            <w:r w:rsidRPr="00B626AA">
              <w:rPr>
                <w:b/>
              </w:rPr>
              <w:t>scafterschool.com/</w:t>
            </w:r>
          </w:p>
          <w:p w:rsidR="008A096E" w:rsidRDefault="00B626AA" w:rsidP="008A096E">
            <w:pPr>
              <w:jc w:val="center"/>
              <w:rPr>
                <w:b/>
              </w:rPr>
            </w:pPr>
            <w:r w:rsidRPr="00B626AA">
              <w:rPr>
                <w:b/>
              </w:rPr>
              <w:t>digital-badges/</w:t>
            </w:r>
          </w:p>
        </w:tc>
      </w:tr>
      <w:tr w:rsidR="0093522F" w:rsidTr="00E97BE1">
        <w:trPr>
          <w:trHeight w:val="530"/>
        </w:trPr>
        <w:tc>
          <w:tcPr>
            <w:tcW w:w="1890" w:type="dxa"/>
          </w:tcPr>
          <w:p w:rsidR="0093522F" w:rsidRDefault="008C0F4B" w:rsidP="008A096E">
            <w:pPr>
              <w:jc w:val="center"/>
              <w:rPr>
                <w:b/>
              </w:rPr>
            </w:pPr>
            <w:r>
              <w:rPr>
                <w:b/>
              </w:rPr>
              <w:t>North Valley Extended School Project</w:t>
            </w:r>
          </w:p>
          <w:p w:rsidR="008C0F4B" w:rsidRDefault="008C0F4B" w:rsidP="008A096E">
            <w:pPr>
              <w:jc w:val="center"/>
              <w:rPr>
                <w:b/>
              </w:rPr>
            </w:pPr>
            <w:r>
              <w:rPr>
                <w:b/>
              </w:rPr>
              <w:t>(ND)</w:t>
            </w:r>
          </w:p>
        </w:tc>
        <w:tc>
          <w:tcPr>
            <w:tcW w:w="6390" w:type="dxa"/>
          </w:tcPr>
          <w:p w:rsidR="0093522F" w:rsidRPr="0035684F" w:rsidRDefault="0093522F" w:rsidP="00B626AA">
            <w:pPr>
              <w:pStyle w:val="NormalWeb"/>
              <w:spacing w:before="0" w:beforeAutospacing="0" w:after="360" w:afterAutospacing="0"/>
              <w:rPr>
                <w:rFonts w:asciiTheme="minorHAnsi" w:hAnsiTheme="minorHAnsi" w:cstheme="minorHAnsi"/>
                <w:color w:val="404040"/>
                <w:sz w:val="20"/>
                <w:szCs w:val="20"/>
              </w:rPr>
            </w:pPr>
            <w:r w:rsidRPr="0035684F">
              <w:rPr>
                <w:rFonts w:asciiTheme="minorHAnsi" w:hAnsiTheme="minorHAnsi" w:cstheme="minorHAnsi"/>
                <w:sz w:val="20"/>
                <w:szCs w:val="20"/>
              </w:rPr>
              <w:t xml:space="preserve">From website: The </w:t>
            </w:r>
            <w:r w:rsidR="00C74C89">
              <w:rPr>
                <w:rFonts w:asciiTheme="minorHAnsi" w:hAnsiTheme="minorHAnsi" w:cstheme="minorHAnsi"/>
                <w:sz w:val="20"/>
                <w:szCs w:val="20"/>
              </w:rPr>
              <w:t>primary goal of the</w:t>
            </w:r>
            <w:r w:rsidRPr="0035684F">
              <w:rPr>
                <w:rFonts w:asciiTheme="minorHAnsi" w:hAnsiTheme="minorHAnsi" w:cstheme="minorHAnsi"/>
                <w:sz w:val="20"/>
                <w:szCs w:val="20"/>
              </w:rPr>
              <w:t xml:space="preserve"> North Valley Extended School Project is to stimulate development and coordination among the appropriate organizations also serving the target population in order to 1) reduce gaps in current programming; 2) give students access to real-world experiences and additional caring and committed adults; 3) to expose students to the larger community to better understand its strengths and needs; and 4) to provide experiences and community connections that could lead to future life and career opportunities.</w:t>
            </w:r>
            <w:r w:rsidR="008C0F4B" w:rsidRPr="0035684F">
              <w:rPr>
                <w:rFonts w:asciiTheme="minorHAnsi" w:hAnsiTheme="minorHAnsi" w:cstheme="minorHAnsi"/>
                <w:sz w:val="20"/>
                <w:szCs w:val="20"/>
              </w:rPr>
              <w:t xml:space="preserve"> Includes middle and high school students. </w:t>
            </w:r>
          </w:p>
        </w:tc>
        <w:tc>
          <w:tcPr>
            <w:tcW w:w="2520" w:type="dxa"/>
          </w:tcPr>
          <w:p w:rsidR="0093522F" w:rsidRPr="00B626AA" w:rsidRDefault="008C0F4B" w:rsidP="008A096E">
            <w:pPr>
              <w:jc w:val="center"/>
              <w:rPr>
                <w:b/>
              </w:rPr>
            </w:pPr>
            <w:r w:rsidRPr="008C0F4B">
              <w:rPr>
                <w:b/>
              </w:rPr>
              <w:t>northvalleyctc.org/special-projects/north-valley-extended-school-project</w:t>
            </w:r>
          </w:p>
        </w:tc>
      </w:tr>
    </w:tbl>
    <w:p w:rsidR="00F12F73" w:rsidRDefault="00F12F73" w:rsidP="00E97BE1">
      <w:pPr>
        <w:rPr>
          <w:b/>
        </w:rPr>
      </w:pPr>
    </w:p>
    <w:p w:rsidR="00017BC4" w:rsidRPr="00F12F73" w:rsidRDefault="008A096E" w:rsidP="00F12F73">
      <w:pPr>
        <w:rPr>
          <w:b/>
        </w:rPr>
      </w:pPr>
      <w:r>
        <w:rPr>
          <w:b/>
        </w:rPr>
        <w:t xml:space="preserve">Email </w:t>
      </w:r>
      <w:hyperlink r:id="rId4" w:history="1">
        <w:r w:rsidRPr="004421C5">
          <w:rPr>
            <w:rStyle w:val="Hyperlink"/>
            <w:b/>
          </w:rPr>
          <w:t>jluchner@afterschoolalliance.org</w:t>
        </w:r>
      </w:hyperlink>
      <w:r>
        <w:rPr>
          <w:b/>
        </w:rPr>
        <w:t xml:space="preserve"> for more examples including high school career examples</w:t>
      </w:r>
      <w:r w:rsidR="00F12F73">
        <w:rPr>
          <w:b/>
        </w:rPr>
        <w:tab/>
      </w:r>
      <w:r w:rsidR="00F12F73">
        <w:rPr>
          <w:b/>
        </w:rPr>
        <w:tab/>
      </w:r>
      <w:r w:rsidR="00F12F73">
        <w:rPr>
          <w:b/>
        </w:rPr>
        <w:tab/>
      </w:r>
      <w:r w:rsidR="00F12F73">
        <w:rPr>
          <w:b/>
        </w:rPr>
        <w:tab/>
      </w:r>
      <w:r w:rsidR="00017BC4" w:rsidRPr="00F12F73">
        <w:rPr>
          <w:b/>
          <w:sz w:val="16"/>
          <w:szCs w:val="16"/>
        </w:rPr>
        <w:t>(Summaries often paraphrased from organization</w:t>
      </w:r>
      <w:r w:rsidR="00F12F73" w:rsidRPr="00F12F73">
        <w:rPr>
          <w:b/>
          <w:sz w:val="16"/>
          <w:szCs w:val="16"/>
        </w:rPr>
        <w:t>’s</w:t>
      </w:r>
      <w:r w:rsidR="00017BC4" w:rsidRPr="00F12F73">
        <w:rPr>
          <w:b/>
          <w:sz w:val="16"/>
          <w:szCs w:val="16"/>
        </w:rPr>
        <w:t xml:space="preserve"> website)</w:t>
      </w:r>
    </w:p>
    <w:sectPr w:rsidR="00017BC4" w:rsidRPr="00F12F73" w:rsidSect="005E44B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CE"/>
    <w:rsid w:val="00017BC4"/>
    <w:rsid w:val="000448CE"/>
    <w:rsid w:val="00135805"/>
    <w:rsid w:val="00142BCF"/>
    <w:rsid w:val="00146E6F"/>
    <w:rsid w:val="002170D8"/>
    <w:rsid w:val="0035684F"/>
    <w:rsid w:val="00404E67"/>
    <w:rsid w:val="005326B6"/>
    <w:rsid w:val="005C78EE"/>
    <w:rsid w:val="005E44B9"/>
    <w:rsid w:val="005F7B10"/>
    <w:rsid w:val="006065AF"/>
    <w:rsid w:val="007B3BE6"/>
    <w:rsid w:val="00806EBE"/>
    <w:rsid w:val="008749DD"/>
    <w:rsid w:val="008A096E"/>
    <w:rsid w:val="008C0F4B"/>
    <w:rsid w:val="0093522F"/>
    <w:rsid w:val="009E0FBC"/>
    <w:rsid w:val="00A35423"/>
    <w:rsid w:val="00A35583"/>
    <w:rsid w:val="00A86121"/>
    <w:rsid w:val="00AC25A0"/>
    <w:rsid w:val="00B626AA"/>
    <w:rsid w:val="00B77F43"/>
    <w:rsid w:val="00B82C3A"/>
    <w:rsid w:val="00C02783"/>
    <w:rsid w:val="00C74C89"/>
    <w:rsid w:val="00CF747C"/>
    <w:rsid w:val="00D639B3"/>
    <w:rsid w:val="00E97BE1"/>
    <w:rsid w:val="00F1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0773C-3534-4F2A-A835-ED715869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096E"/>
    <w:rPr>
      <w:color w:val="0563C1" w:themeColor="hyperlink"/>
      <w:u w:val="single"/>
    </w:rPr>
  </w:style>
  <w:style w:type="paragraph" w:styleId="NormalWeb">
    <w:name w:val="Normal (Web)"/>
    <w:basedOn w:val="Normal"/>
    <w:uiPriority w:val="99"/>
    <w:unhideWhenUsed/>
    <w:rsid w:val="00B626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8524">
      <w:bodyDiv w:val="1"/>
      <w:marLeft w:val="0"/>
      <w:marRight w:val="0"/>
      <w:marTop w:val="0"/>
      <w:marBottom w:val="0"/>
      <w:divBdr>
        <w:top w:val="none" w:sz="0" w:space="0" w:color="auto"/>
        <w:left w:val="none" w:sz="0" w:space="0" w:color="auto"/>
        <w:bottom w:val="none" w:sz="0" w:space="0" w:color="auto"/>
        <w:right w:val="none" w:sz="0" w:space="0" w:color="auto"/>
      </w:divBdr>
    </w:div>
    <w:div w:id="402142408">
      <w:bodyDiv w:val="1"/>
      <w:marLeft w:val="0"/>
      <w:marRight w:val="0"/>
      <w:marTop w:val="0"/>
      <w:marBottom w:val="0"/>
      <w:divBdr>
        <w:top w:val="none" w:sz="0" w:space="0" w:color="auto"/>
        <w:left w:val="none" w:sz="0" w:space="0" w:color="auto"/>
        <w:bottom w:val="none" w:sz="0" w:space="0" w:color="auto"/>
        <w:right w:val="none" w:sz="0" w:space="0" w:color="auto"/>
      </w:divBdr>
    </w:div>
    <w:div w:id="1374883355">
      <w:bodyDiv w:val="1"/>
      <w:marLeft w:val="0"/>
      <w:marRight w:val="0"/>
      <w:marTop w:val="0"/>
      <w:marBottom w:val="0"/>
      <w:divBdr>
        <w:top w:val="none" w:sz="0" w:space="0" w:color="auto"/>
        <w:left w:val="none" w:sz="0" w:space="0" w:color="auto"/>
        <w:bottom w:val="none" w:sz="0" w:space="0" w:color="auto"/>
        <w:right w:val="none" w:sz="0" w:space="0" w:color="auto"/>
      </w:divBdr>
    </w:div>
    <w:div w:id="1471945094">
      <w:bodyDiv w:val="1"/>
      <w:marLeft w:val="0"/>
      <w:marRight w:val="0"/>
      <w:marTop w:val="0"/>
      <w:marBottom w:val="0"/>
      <w:divBdr>
        <w:top w:val="none" w:sz="0" w:space="0" w:color="auto"/>
        <w:left w:val="none" w:sz="0" w:space="0" w:color="auto"/>
        <w:bottom w:val="none" w:sz="0" w:space="0" w:color="auto"/>
        <w:right w:val="none" w:sz="0" w:space="0" w:color="auto"/>
      </w:divBdr>
    </w:div>
    <w:div w:id="1957758116">
      <w:bodyDiv w:val="1"/>
      <w:marLeft w:val="0"/>
      <w:marRight w:val="0"/>
      <w:marTop w:val="0"/>
      <w:marBottom w:val="0"/>
      <w:divBdr>
        <w:top w:val="none" w:sz="0" w:space="0" w:color="auto"/>
        <w:left w:val="none" w:sz="0" w:space="0" w:color="auto"/>
        <w:bottom w:val="none" w:sz="0" w:space="0" w:color="auto"/>
        <w:right w:val="none" w:sz="0" w:space="0" w:color="auto"/>
      </w:divBdr>
    </w:div>
    <w:div w:id="2022201505">
      <w:bodyDiv w:val="1"/>
      <w:marLeft w:val="0"/>
      <w:marRight w:val="0"/>
      <w:marTop w:val="0"/>
      <w:marBottom w:val="0"/>
      <w:divBdr>
        <w:top w:val="none" w:sz="0" w:space="0" w:color="auto"/>
        <w:left w:val="none" w:sz="0" w:space="0" w:color="auto"/>
        <w:bottom w:val="none" w:sz="0" w:space="0" w:color="auto"/>
        <w:right w:val="none" w:sz="0" w:space="0" w:color="auto"/>
      </w:divBdr>
    </w:div>
    <w:div w:id="20794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luchner@afterschool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Luchner</dc:creator>
  <cp:keywords/>
  <dc:description/>
  <cp:lastModifiedBy>Jillian Luchner</cp:lastModifiedBy>
  <cp:revision>2</cp:revision>
  <cp:lastPrinted>2019-06-24T21:54:00Z</cp:lastPrinted>
  <dcterms:created xsi:type="dcterms:W3CDTF">2019-06-27T14:05:00Z</dcterms:created>
  <dcterms:modified xsi:type="dcterms:W3CDTF">2019-06-27T14:05:00Z</dcterms:modified>
</cp:coreProperties>
</file>